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33" w:rsidRPr="004530D0" w:rsidRDefault="00653233" w:rsidP="004530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Water Level Observation (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Kuro</w:t>
      </w:r>
      <w:r w:rsidR="00AD7D7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go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Water-Level Gauging Station)</w:t>
      </w:r>
    </w:p>
    <w:p w:rsid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980676" w:rsidRPr="00980676" w:rsidRDefault="00980676" w:rsidP="00980676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proofErr w:type="spellStart"/>
      <w:r w:rsidRPr="00980676"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>Shimodate</w:t>
      </w:r>
      <w:proofErr w:type="spellEnd"/>
      <w:r w:rsidRPr="00980676"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 xml:space="preserve"> River Work Office, MLIT</w:t>
      </w:r>
    </w:p>
    <w:p w:rsidR="00980676" w:rsidRPr="00653233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53233" w:rsidRPr="004530D0" w:rsidRDefault="00653233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River water levels fluctuate, depending on changes in discharge and river-bed morphology. 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Kuro</w:t>
      </w:r>
      <w:r w:rsidR="00AD7D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go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Water-Level Gauging Station monitors the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river water level at </w:t>
      </w:r>
      <w:r w:rsidRPr="00980676">
        <w:rPr>
          <w:rFonts w:ascii="Times New Roman" w:eastAsia="ＭＳ 明朝" w:hAnsi="Times New Roman" w:cs="ＭＳ 明朝"/>
          <w:color w:val="FF0000"/>
          <w:kern w:val="0"/>
          <w:sz w:val="24"/>
          <w:szCs w:val="24"/>
        </w:rPr>
        <w:t>10-minute intervals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for 24 hours for the purpose of river management. </w:t>
      </w:r>
    </w:p>
    <w:p w:rsidR="00653233" w:rsidRPr="00653233" w:rsidRDefault="00653233" w:rsidP="004530D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Kuro</w:t>
      </w:r>
      <w:r w:rsidR="00AD7D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go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Station uses two types of water-level gauges: float and ultrasonic </w:t>
      </w:r>
      <w:r w:rsidR="00AD7D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types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.</w:t>
      </w:r>
    </w:p>
    <w:p w:rsidR="00653233" w:rsidRDefault="00653233" w:rsidP="004530D0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Observed data are used to produce </w:t>
      </w:r>
      <w:r w:rsidR="00E839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a stage-discharge curve (H-Q curve), by which a river discharge can be estimated based on a water level.</w:t>
      </w:r>
    </w:p>
    <w:p w:rsidR="00980676" w:rsidRPr="004530D0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39FF" w:rsidRPr="004530D0" w:rsidRDefault="004530D0" w:rsidP="004530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00040" cy="3168650"/>
            <wp:effectExtent l="0" t="0" r="635" b="3175"/>
            <wp:wrapSquare wrapText="bothSides"/>
            <wp:docPr id="3" name="グラフ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839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Sample H-Q curve </w:t>
      </w:r>
    </w:p>
    <w:p w:rsid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980676" w:rsidRPr="004530D0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E839FF" w:rsidRPr="004530D0" w:rsidRDefault="00E839FF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H-Q curves are useful in river management, particularly in the case of flooding and drought, </w:t>
      </w:r>
      <w:r w:rsidR="00AD7D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for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a river discharge can be easily estimated from a water le</w:t>
      </w:r>
      <w:r w:rsidR="004E36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vel.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H-Q curves provide important information for flood forecasting and flood fighting</w:t>
      </w:r>
      <w:r w:rsidR="004E36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d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uring </w:t>
      </w:r>
      <w:r w:rsidR="004E36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flooding and for intake water level and amount during drought.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30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0676" w:rsidRDefault="00980676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 w:type="page"/>
      </w:r>
    </w:p>
    <w:p w:rsidR="004530D0" w:rsidRDefault="00980676" w:rsidP="004530D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color w:val="000000"/>
          <w:spacing w:val="2"/>
          <w:kern w:val="0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95pt;margin-top:11.9pt;width:97.9pt;height:12.6pt;z-index:251663360;mso-height-percent:200;mso-height-percent:200;mso-width-relative:margin;mso-height-relative:margin" stroked="f">
            <v:textbox style="mso-fit-shape-to-text:t" inset=",0,,0">
              <w:txbxContent>
                <w:p w:rsidR="005E2F08" w:rsidRDefault="002A2111" w:rsidP="005E2F08">
                  <w:pPr>
                    <w:adjustRightInd w:val="0"/>
                    <w:snapToGrid w:val="0"/>
                  </w:pPr>
                  <w:proofErr w:type="gramStart"/>
                  <w:r>
                    <w:rPr>
                      <w:rFonts w:hint="eastAsia"/>
                    </w:rPr>
                    <w:t>o</w:t>
                  </w:r>
                  <w:r w:rsidR="005E2F08">
                    <w:rPr>
                      <w:rFonts w:hint="eastAsia"/>
                    </w:rPr>
                    <w:t>bservation</w:t>
                  </w:r>
                  <w:proofErr w:type="gramEnd"/>
                  <w:r w:rsidR="005E2F08">
                    <w:rPr>
                      <w:rFonts w:hint="eastAsia"/>
                    </w:rPr>
                    <w:t xml:space="preserve"> hut</w:t>
                  </w:r>
                </w:p>
              </w:txbxContent>
            </v:textbox>
          </v:shape>
        </w:pict>
      </w:r>
      <w:r w:rsidR="004530D0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60288" behindDoc="0" locked="0" layoutInCell="0" allowOverlap="1">
            <wp:simplePos x="0" y="0"/>
            <wp:positionH relativeFrom="margin">
              <wp:posOffset>1079500</wp:posOffset>
            </wp:positionH>
            <wp:positionV relativeFrom="paragraph">
              <wp:posOffset>232410</wp:posOffset>
            </wp:positionV>
            <wp:extent cx="4320540" cy="2296160"/>
            <wp:effectExtent l="19050" t="0" r="381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6DC" w:rsidRPr="004530D0" w:rsidRDefault="004E36DC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27" type="#_x0000_t202" style="position:absolute;left:0;text-align:left;margin-left:369.6pt;margin-top:6pt;width:111.2pt;height:12.6pt;z-index:251664384;mso-height-percent:200;mso-height-percent:200;mso-width-relative:margin;mso-height-relative:margin" stroked="f">
            <v:textbox style="mso-fit-shape-to-text:t" inset=",0,,0">
              <w:txbxContent>
                <w:p w:rsidR="002A2111" w:rsidRDefault="002A2111" w:rsidP="002A2111">
                  <w:pPr>
                    <w:adjustRightInd w:val="0"/>
                    <w:snapToGrid w:val="0"/>
                  </w:pPr>
                  <w:proofErr w:type="gramStart"/>
                  <w:r>
                    <w:rPr>
                      <w:rFonts w:hint="eastAsia"/>
                    </w:rPr>
                    <w:t>water</w:t>
                  </w:r>
                  <w:proofErr w:type="gramEnd"/>
                  <w:r>
                    <w:rPr>
                      <w:rFonts w:hint="eastAsia"/>
                    </w:rPr>
                    <w:t xml:space="preserve"> level gauge</w:t>
                  </w:r>
                </w:p>
              </w:txbxContent>
            </v:textbox>
          </v:shape>
        </w:pict>
      </w: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28" type="#_x0000_t202" style="position:absolute;left:0;text-align:left;margin-left:363.95pt;margin-top:2.15pt;width:97.9pt;height:12.6pt;z-index:251665408;mso-height-percent:200;mso-height-percent:200;mso-width-relative:margin;mso-height-relative:margin" stroked="f">
            <v:textbox style="mso-fit-shape-to-text:t" inset=",0,,0">
              <w:txbxContent>
                <w:p w:rsidR="002A2111" w:rsidRDefault="002A2111" w:rsidP="002A2111">
                  <w:pPr>
                    <w:adjustRightInd w:val="0"/>
                    <w:snapToGrid w:val="0"/>
                  </w:pPr>
                  <w:proofErr w:type="gramStart"/>
                  <w:r>
                    <w:rPr>
                      <w:rFonts w:hint="eastAsia"/>
                    </w:rPr>
                    <w:t>observation</w:t>
                  </w:r>
                  <w:proofErr w:type="gramEnd"/>
                  <w:r>
                    <w:rPr>
                      <w:rFonts w:hint="eastAsia"/>
                    </w:rPr>
                    <w:t xml:space="preserve"> well</w:t>
                  </w:r>
                </w:p>
              </w:txbxContent>
            </v:textbox>
          </v:shape>
        </w:pict>
      </w: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29" type="#_x0000_t202" style="position:absolute;left:0;text-align:left;margin-left:355.15pt;margin-top:9.55pt;width:130.2pt;height:25.25pt;z-index:251666432;mso-height-percent:200;mso-height-percent:200;mso-width-relative:margin;mso-height-relative:margin" stroked="f">
            <v:textbox style="mso-fit-shape-to-text:t" inset=",0,,0">
              <w:txbxContent>
                <w:p w:rsidR="002A2111" w:rsidRDefault="002A2111" w:rsidP="002A2111">
                  <w:pPr>
                    <w:adjustRightInd w:val="0"/>
                    <w:snapToGrid w:val="0"/>
                  </w:pPr>
                  <w:proofErr w:type="gramStart"/>
                  <w:r>
                    <w:rPr>
                      <w:rFonts w:hint="eastAsia"/>
                    </w:rPr>
                    <w:t>water</w:t>
                  </w:r>
                  <w:proofErr w:type="gramEnd"/>
                  <w:r>
                    <w:rPr>
                      <w:rFonts w:hint="eastAsia"/>
                    </w:rPr>
                    <w:t xml:space="preserve"> conveyance pipe</w:t>
                  </w:r>
                </w:p>
              </w:txbxContent>
            </v:textbox>
          </v:shape>
        </w:pict>
      </w:r>
    </w:p>
    <w:p w:rsidR="002A2111" w:rsidRDefault="002A2111" w:rsidP="004E36D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</w:p>
    <w:p w:rsidR="002A2111" w:rsidRDefault="002A2111" w:rsidP="004E36D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</w:p>
    <w:p w:rsidR="002A2111" w:rsidRDefault="002A2111" w:rsidP="004E36D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</w:p>
    <w:p w:rsidR="004E36DC" w:rsidRPr="004E36DC" w:rsidRDefault="004E36DC" w:rsidP="004E36D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 w:rsidRPr="00980676">
        <w:rPr>
          <w:rFonts w:ascii="Times New Roman" w:eastAsia="ＭＳ 明朝" w:hAnsi="Times New Roman" w:cs="Times New Roman" w:hint="eastAsia"/>
          <w:b/>
          <w:color w:val="000000"/>
          <w:spacing w:val="2"/>
          <w:kern w:val="0"/>
          <w:szCs w:val="21"/>
        </w:rPr>
        <w:t xml:space="preserve">Float-type gauge: 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>This type of water-level gauges record</w:t>
      </w:r>
      <w:r w:rsidR="00AD7D76"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water levels by transferring the </w:t>
      </w:r>
      <w:r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  <w:t>movement</w:t>
      </w:r>
      <w:r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of the float on the river surface </w:t>
      </w:r>
      <w:r w:rsidR="00724AF5">
        <w:rPr>
          <w:rFonts w:ascii="Times New Roman" w:eastAsia="ＭＳ 明朝" w:hAnsi="Times New Roman" w:cs="Times New Roman" w:hint="eastAsia"/>
          <w:color w:val="000000"/>
          <w:spacing w:val="2"/>
          <w:kern w:val="0"/>
          <w:szCs w:val="21"/>
        </w:rPr>
        <w:t xml:space="preserve">to that of the recording pen through the wire and pulley. </w:t>
      </w: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61312" behindDoc="0" locked="0" layoutInCell="0" allowOverlap="1">
            <wp:simplePos x="0" y="0"/>
            <wp:positionH relativeFrom="margin">
              <wp:posOffset>1079500</wp:posOffset>
            </wp:positionH>
            <wp:positionV relativeFrom="paragraph">
              <wp:posOffset>26670</wp:posOffset>
            </wp:positionV>
            <wp:extent cx="4306570" cy="32397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0D0" w:rsidRPr="004530D0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4" type="#_x0000_t202" style="position:absolute;left:0;text-align:left;margin-left:364.3pt;margin-top:10.85pt;width:97.9pt;height:12.6pt;z-index:251671552;mso-height-percent:200;mso-height-percent:200;mso-width-relative:margin;mso-height-relative:margin" stroked="f">
            <v:textbox style="mso-fit-shape-to-text:t" inset=",0,,0">
              <w:txbxContent>
                <w:p w:rsidR="00AD7D76" w:rsidRDefault="00AD7D76" w:rsidP="00AD7D76">
                  <w:pPr>
                    <w:adjustRightInd w:val="0"/>
                    <w:snapToGrid w:val="0"/>
                  </w:pPr>
                  <w:proofErr w:type="gramStart"/>
                  <w:r>
                    <w:rPr>
                      <w:rFonts w:hint="eastAsia"/>
                    </w:rPr>
                    <w:t>controller</w:t>
                  </w:r>
                  <w:proofErr w:type="gramEnd"/>
                </w:p>
              </w:txbxContent>
            </v:textbox>
          </v:shape>
        </w:pic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2" type="#_x0000_t202" style="position:absolute;left:0;text-align:left;margin-left:252.25pt;margin-top:8.1pt;width:39.7pt;height:12.6pt;z-index:251669504;mso-height-percent:200;mso-height-percent:200;mso-width-relative:margin;mso-height-relative:margin" stroked="f">
            <v:textbox style="mso-fit-shape-to-text:t" inset=",0,,0">
              <w:txbxContent>
                <w:p w:rsidR="00AD7D76" w:rsidRDefault="00AD7D76" w:rsidP="00AD7D76">
                  <w:pPr>
                    <w:adjustRightInd w:val="0"/>
                    <w:snapToGrid w:val="0"/>
                  </w:pPr>
                  <w:proofErr w:type="gramStart"/>
                  <w:r>
                    <w:rPr>
                      <w:rFonts w:hint="eastAsia"/>
                    </w:rPr>
                    <w:t>cable</w:t>
                  </w:r>
                  <w:proofErr w:type="gramEnd"/>
                </w:p>
              </w:txbxContent>
            </v:textbox>
          </v:shape>
        </w:pict>
      </w: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3" type="#_x0000_t202" style="position:absolute;left:0;text-align:left;margin-left:365.35pt;margin-top:4.2pt;width:97.9pt;height:12.6pt;z-index:251670528;mso-height-percent:200;mso-height-percent:200;mso-width-relative:margin;mso-height-relative:margin" stroked="f">
            <v:textbox style="mso-fit-shape-to-text:t" inset=",0,,0">
              <w:txbxContent>
                <w:p w:rsidR="00AD7D76" w:rsidRDefault="00AD7D76" w:rsidP="00AD7D76">
                  <w:pPr>
                    <w:adjustRightInd w:val="0"/>
                    <w:snapToGrid w:val="0"/>
                  </w:pPr>
                  <w:proofErr w:type="gramStart"/>
                  <w:r>
                    <w:rPr>
                      <w:rFonts w:hint="eastAsia"/>
                    </w:rPr>
                    <w:t>recorder</w:t>
                  </w:r>
                  <w:proofErr w:type="gramEnd"/>
                </w:p>
              </w:txbxContent>
            </v:textbox>
          </v:shape>
        </w:pict>
      </w:r>
    </w:p>
    <w:p w:rsidR="004530D0" w:rsidRPr="004530D0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0" type="#_x0000_t202" style="position:absolute;left:0;text-align:left;margin-left:71.8pt;margin-top:11.55pt;width:97.9pt;height:12.6pt;z-index:251667456;mso-height-percent:200;mso-height-percent:200;mso-width-relative:margin;mso-height-relative:margin" stroked="f">
            <v:textbox style="mso-fit-shape-to-text:t" inset=",0,,0">
              <w:txbxContent>
                <w:p w:rsidR="00AD7D76" w:rsidRDefault="00AD7D76" w:rsidP="00AD7D76">
                  <w:pPr>
                    <w:adjustRightInd w:val="0"/>
                    <w:snapToGrid w:val="0"/>
                  </w:pPr>
                  <w:proofErr w:type="gramStart"/>
                  <w:r>
                    <w:t>transducer</w:t>
                  </w:r>
                  <w:proofErr w:type="gramEnd"/>
                </w:p>
              </w:txbxContent>
            </v:textbox>
          </v:shape>
        </w:pict>
      </w: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980676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pict>
          <v:shape id="_x0000_s1031" type="#_x0000_t202" style="position:absolute;left:0;text-align:left;margin-left:140.55pt;margin-top:10.05pt;width:111.7pt;height:12.6pt;z-index:251668480;mso-height-percent:200;mso-height-percent:200;mso-width-relative:margin;mso-height-relative:margin" stroked="f">
            <v:textbox style="mso-fit-shape-to-text:t" inset=",0,,0">
              <w:txbxContent>
                <w:p w:rsidR="00AD7D76" w:rsidRDefault="00AD7D76" w:rsidP="00AD7D76">
                  <w:pPr>
                    <w:adjustRightInd w:val="0"/>
                    <w:snapToGrid w:val="0"/>
                  </w:pPr>
                  <w:proofErr w:type="gramStart"/>
                  <w:r>
                    <w:rPr>
                      <w:rFonts w:hint="eastAsia"/>
                    </w:rPr>
                    <w:t>temperature</w:t>
                  </w:r>
                  <w:proofErr w:type="gramEnd"/>
                  <w:r>
                    <w:rPr>
                      <w:rFonts w:hint="eastAsia"/>
                    </w:rPr>
                    <w:t xml:space="preserve"> sensor</w:t>
                  </w:r>
                </w:p>
              </w:txbxContent>
            </v:textbox>
          </v:shape>
        </w:pict>
      </w: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30D0" w:rsidRPr="004530D0" w:rsidRDefault="004530D0" w:rsidP="004530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4151" w:rsidRPr="005E2F08" w:rsidRDefault="005E2F08" w:rsidP="00980676">
      <w:pPr>
        <w:overflowPunct w:val="0"/>
        <w:textAlignment w:val="baseline"/>
      </w:pPr>
      <w:r w:rsidRPr="0098067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Ultrasonic-type gauge: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This type of gauges measure</w:t>
      </w:r>
      <w:r w:rsidR="00AD7D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s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water levels by using ultrasonic transducers installed right above the river surface. They send ultrasonic waves to the river surface and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receive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the echo from it to determine the distance to the surface based on the </w:t>
      </w:r>
      <w:r w:rsidR="002A21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traveling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time </w:t>
      </w:r>
      <w:r w:rsidR="002A21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of the waves. This way, they can measure water levels with no direct contact with the water surface.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sectPr w:rsidR="00C14151" w:rsidRPr="005E2F08" w:rsidSect="004530D0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A3" w:rsidRDefault="006532A3" w:rsidP="00653233">
      <w:r>
        <w:separator/>
      </w:r>
    </w:p>
  </w:endnote>
  <w:endnote w:type="continuationSeparator" w:id="0">
    <w:p w:rsidR="006532A3" w:rsidRDefault="006532A3" w:rsidP="0065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A3" w:rsidRDefault="006532A3" w:rsidP="00653233">
      <w:r>
        <w:separator/>
      </w:r>
    </w:p>
  </w:footnote>
  <w:footnote w:type="continuationSeparator" w:id="0">
    <w:p w:rsidR="006532A3" w:rsidRDefault="006532A3" w:rsidP="0065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0D0"/>
    <w:rsid w:val="002252B7"/>
    <w:rsid w:val="002A2111"/>
    <w:rsid w:val="004530D0"/>
    <w:rsid w:val="004E36DC"/>
    <w:rsid w:val="005E2F08"/>
    <w:rsid w:val="00653233"/>
    <w:rsid w:val="006532A3"/>
    <w:rsid w:val="00724AF5"/>
    <w:rsid w:val="00980676"/>
    <w:rsid w:val="00AD7D76"/>
    <w:rsid w:val="00C14151"/>
    <w:rsid w:val="00E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3233"/>
  </w:style>
  <w:style w:type="paragraph" w:styleId="a5">
    <w:name w:val="footer"/>
    <w:basedOn w:val="a"/>
    <w:link w:val="a6"/>
    <w:uiPriority w:val="99"/>
    <w:semiHidden/>
    <w:unhideWhenUsed/>
    <w:rsid w:val="00653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3233"/>
  </w:style>
  <w:style w:type="paragraph" w:styleId="a7">
    <w:name w:val="Balloon Text"/>
    <w:basedOn w:val="a"/>
    <w:link w:val="a8"/>
    <w:uiPriority w:val="99"/>
    <w:semiHidden/>
    <w:unhideWhenUsed/>
    <w:rsid w:val="005E2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F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14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r>
              <a:rPr lang="en-US" altLang="en-US"/>
              <a:t>HQ rating curve</a:t>
            </a:r>
          </a:p>
        </c:rich>
      </c:tx>
      <c:layout>
        <c:manualLayout>
          <c:xMode val="edge"/>
          <c:yMode val="edge"/>
          <c:x val="0.41780821917808236"/>
          <c:y val="2.0057306590257885E-2"/>
        </c:manualLayout>
      </c:layout>
      <c:overlay val="0"/>
      <c:spPr>
        <a:noFill/>
        <a:ln w="26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753424657534235E-2"/>
          <c:y val="0.17191977077363896"/>
          <c:w val="0.65068493150684981"/>
          <c:h val="0.65042979942693413"/>
        </c:manualLayout>
      </c:layout>
      <c:scatterChart>
        <c:scatterStyle val="lineMarker"/>
        <c:varyColors val="0"/>
        <c:ser>
          <c:idx val="0"/>
          <c:order val="0"/>
          <c:tx>
            <c:strRef>
              <c:f>'HQ (2)'!$C$1</c:f>
              <c:strCache>
                <c:ptCount val="1"/>
                <c:pt idx="0">
                  <c:v>Water level  H[m]</c:v>
                </c:pt>
              </c:strCache>
            </c:strRef>
          </c:tx>
          <c:spPr>
            <a:ln w="29614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'HQ (2)'!$B$2:$B$74</c:f>
              <c:numCache>
                <c:formatCode>General</c:formatCode>
                <c:ptCount val="73"/>
                <c:pt idx="0">
                  <c:v>1.0000000000000004E-2</c:v>
                </c:pt>
                <c:pt idx="1">
                  <c:v>4.0000000000000015E-2</c:v>
                </c:pt>
                <c:pt idx="2">
                  <c:v>9.0000000000000024E-2</c:v>
                </c:pt>
                <c:pt idx="3">
                  <c:v>0.11000000000000001</c:v>
                </c:pt>
                <c:pt idx="4">
                  <c:v>0.13</c:v>
                </c:pt>
                <c:pt idx="5">
                  <c:v>0.14000000000000001</c:v>
                </c:pt>
                <c:pt idx="6">
                  <c:v>0.2</c:v>
                </c:pt>
                <c:pt idx="7">
                  <c:v>1.9000000000000001</c:v>
                </c:pt>
                <c:pt idx="8">
                  <c:v>2.2200000000000002</c:v>
                </c:pt>
                <c:pt idx="9">
                  <c:v>2.63</c:v>
                </c:pt>
                <c:pt idx="10">
                  <c:v>2.8099999999999992</c:v>
                </c:pt>
                <c:pt idx="11">
                  <c:v>7.14</c:v>
                </c:pt>
                <c:pt idx="12">
                  <c:v>10.72</c:v>
                </c:pt>
                <c:pt idx="13">
                  <c:v>13.76</c:v>
                </c:pt>
                <c:pt idx="14">
                  <c:v>21.67</c:v>
                </c:pt>
                <c:pt idx="15">
                  <c:v>31.56</c:v>
                </c:pt>
                <c:pt idx="16">
                  <c:v>58.37</c:v>
                </c:pt>
                <c:pt idx="17">
                  <c:v>62.84</c:v>
                </c:pt>
                <c:pt idx="18">
                  <c:v>89.3</c:v>
                </c:pt>
                <c:pt idx="19">
                  <c:v>96.36</c:v>
                </c:pt>
                <c:pt idx="20">
                  <c:v>104.85</c:v>
                </c:pt>
                <c:pt idx="21">
                  <c:v>107.02</c:v>
                </c:pt>
                <c:pt idx="22">
                  <c:v>114.82</c:v>
                </c:pt>
                <c:pt idx="23">
                  <c:v>115.61999999999999</c:v>
                </c:pt>
                <c:pt idx="24">
                  <c:v>124.28</c:v>
                </c:pt>
                <c:pt idx="25">
                  <c:v>124.71000000000002</c:v>
                </c:pt>
                <c:pt idx="26">
                  <c:v>152.63999999999999</c:v>
                </c:pt>
                <c:pt idx="27">
                  <c:v>153.96</c:v>
                </c:pt>
                <c:pt idx="28">
                  <c:v>157.99</c:v>
                </c:pt>
                <c:pt idx="29">
                  <c:v>161.63999999999999</c:v>
                </c:pt>
                <c:pt idx="30">
                  <c:v>166.4</c:v>
                </c:pt>
                <c:pt idx="31">
                  <c:v>169.91</c:v>
                </c:pt>
                <c:pt idx="32">
                  <c:v>171.29</c:v>
                </c:pt>
                <c:pt idx="33">
                  <c:v>172.06</c:v>
                </c:pt>
                <c:pt idx="34">
                  <c:v>175.02</c:v>
                </c:pt>
                <c:pt idx="35">
                  <c:v>175.92000000000004</c:v>
                </c:pt>
                <c:pt idx="36">
                  <c:v>191.14</c:v>
                </c:pt>
                <c:pt idx="37">
                  <c:v>193.04</c:v>
                </c:pt>
                <c:pt idx="38">
                  <c:v>209.5</c:v>
                </c:pt>
                <c:pt idx="39">
                  <c:v>213.75</c:v>
                </c:pt>
                <c:pt idx="40">
                  <c:v>213.76</c:v>
                </c:pt>
                <c:pt idx="41">
                  <c:v>216.44</c:v>
                </c:pt>
                <c:pt idx="42">
                  <c:v>242.03</c:v>
                </c:pt>
                <c:pt idx="43">
                  <c:v>261.11</c:v>
                </c:pt>
                <c:pt idx="44">
                  <c:v>262.04000000000002</c:v>
                </c:pt>
                <c:pt idx="45">
                  <c:v>267.2</c:v>
                </c:pt>
                <c:pt idx="46">
                  <c:v>278.33999999999986</c:v>
                </c:pt>
                <c:pt idx="47">
                  <c:v>279.05</c:v>
                </c:pt>
                <c:pt idx="48">
                  <c:v>287.94</c:v>
                </c:pt>
                <c:pt idx="49">
                  <c:v>288.12</c:v>
                </c:pt>
                <c:pt idx="50">
                  <c:v>291.45</c:v>
                </c:pt>
                <c:pt idx="51">
                  <c:v>298.22000000000003</c:v>
                </c:pt>
                <c:pt idx="52">
                  <c:v>310.83999999999986</c:v>
                </c:pt>
                <c:pt idx="53">
                  <c:v>323.32</c:v>
                </c:pt>
                <c:pt idx="54">
                  <c:v>331.4899999999999</c:v>
                </c:pt>
                <c:pt idx="55">
                  <c:v>337.01</c:v>
                </c:pt>
                <c:pt idx="56">
                  <c:v>343.46</c:v>
                </c:pt>
                <c:pt idx="57">
                  <c:v>368.07</c:v>
                </c:pt>
                <c:pt idx="58">
                  <c:v>370.74</c:v>
                </c:pt>
                <c:pt idx="59">
                  <c:v>371.7299999999999</c:v>
                </c:pt>
                <c:pt idx="60">
                  <c:v>382.85</c:v>
                </c:pt>
                <c:pt idx="61">
                  <c:v>384.66</c:v>
                </c:pt>
                <c:pt idx="62">
                  <c:v>392.11</c:v>
                </c:pt>
                <c:pt idx="63">
                  <c:v>393.08</c:v>
                </c:pt>
                <c:pt idx="64">
                  <c:v>397.7299999999999</c:v>
                </c:pt>
                <c:pt idx="65">
                  <c:v>414.69</c:v>
                </c:pt>
                <c:pt idx="66">
                  <c:v>422.92999999999989</c:v>
                </c:pt>
                <c:pt idx="67">
                  <c:v>426.59</c:v>
                </c:pt>
                <c:pt idx="68">
                  <c:v>440.15000000000009</c:v>
                </c:pt>
                <c:pt idx="69">
                  <c:v>490.03</c:v>
                </c:pt>
                <c:pt idx="70">
                  <c:v>490.40999999999991</c:v>
                </c:pt>
                <c:pt idx="71">
                  <c:v>550.37</c:v>
                </c:pt>
                <c:pt idx="72">
                  <c:v>556.87</c:v>
                </c:pt>
              </c:numCache>
            </c:numRef>
          </c:xVal>
          <c:yVal>
            <c:numRef>
              <c:f>'HQ (2)'!$C$2:$C$74</c:f>
              <c:numCache>
                <c:formatCode>General</c:formatCode>
                <c:ptCount val="73"/>
                <c:pt idx="0">
                  <c:v>1.7800000000000002</c:v>
                </c:pt>
                <c:pt idx="1">
                  <c:v>1.7100000000000002</c:v>
                </c:pt>
                <c:pt idx="2">
                  <c:v>1.7900000000000003</c:v>
                </c:pt>
                <c:pt idx="3">
                  <c:v>1.7800000000000002</c:v>
                </c:pt>
                <c:pt idx="4">
                  <c:v>1.8</c:v>
                </c:pt>
                <c:pt idx="5">
                  <c:v>1.87</c:v>
                </c:pt>
                <c:pt idx="6">
                  <c:v>2</c:v>
                </c:pt>
                <c:pt idx="7">
                  <c:v>1.84</c:v>
                </c:pt>
                <c:pt idx="8">
                  <c:v>1.84</c:v>
                </c:pt>
                <c:pt idx="9">
                  <c:v>1.8900000000000001</c:v>
                </c:pt>
                <c:pt idx="10">
                  <c:v>1.86</c:v>
                </c:pt>
                <c:pt idx="11">
                  <c:v>2</c:v>
                </c:pt>
                <c:pt idx="12">
                  <c:v>2.12</c:v>
                </c:pt>
                <c:pt idx="13">
                  <c:v>2.17</c:v>
                </c:pt>
                <c:pt idx="14">
                  <c:v>2.38</c:v>
                </c:pt>
                <c:pt idx="15">
                  <c:v>2.8099999999999992</c:v>
                </c:pt>
                <c:pt idx="16">
                  <c:v>3.3</c:v>
                </c:pt>
                <c:pt idx="17">
                  <c:v>3.65</c:v>
                </c:pt>
                <c:pt idx="18">
                  <c:v>3.75</c:v>
                </c:pt>
                <c:pt idx="19">
                  <c:v>4</c:v>
                </c:pt>
                <c:pt idx="20">
                  <c:v>4.34</c:v>
                </c:pt>
                <c:pt idx="21">
                  <c:v>3.9</c:v>
                </c:pt>
                <c:pt idx="22">
                  <c:v>4.3599999999999985</c:v>
                </c:pt>
                <c:pt idx="23">
                  <c:v>4.4800000000000004</c:v>
                </c:pt>
                <c:pt idx="24">
                  <c:v>4.04</c:v>
                </c:pt>
                <c:pt idx="25">
                  <c:v>4.5199999999999996</c:v>
                </c:pt>
                <c:pt idx="26">
                  <c:v>4.4800000000000004</c:v>
                </c:pt>
                <c:pt idx="27">
                  <c:v>4.8499999999999996</c:v>
                </c:pt>
                <c:pt idx="28">
                  <c:v>4.78</c:v>
                </c:pt>
                <c:pt idx="29">
                  <c:v>4.18</c:v>
                </c:pt>
                <c:pt idx="30">
                  <c:v>4.54</c:v>
                </c:pt>
                <c:pt idx="31">
                  <c:v>5</c:v>
                </c:pt>
                <c:pt idx="32">
                  <c:v>5.22</c:v>
                </c:pt>
                <c:pt idx="33">
                  <c:v>5.34</c:v>
                </c:pt>
                <c:pt idx="34">
                  <c:v>5.1599999999999984</c:v>
                </c:pt>
                <c:pt idx="35">
                  <c:v>4.95</c:v>
                </c:pt>
                <c:pt idx="36">
                  <c:v>5.48</c:v>
                </c:pt>
                <c:pt idx="37">
                  <c:v>4.9800000000000004</c:v>
                </c:pt>
                <c:pt idx="38">
                  <c:v>5.48</c:v>
                </c:pt>
                <c:pt idx="39">
                  <c:v>5.39</c:v>
                </c:pt>
                <c:pt idx="40">
                  <c:v>5.8199999999999985</c:v>
                </c:pt>
                <c:pt idx="41">
                  <c:v>5.04</c:v>
                </c:pt>
                <c:pt idx="42">
                  <c:v>5.03</c:v>
                </c:pt>
                <c:pt idx="43">
                  <c:v>6.3199999999999985</c:v>
                </c:pt>
                <c:pt idx="44">
                  <c:v>5.6</c:v>
                </c:pt>
                <c:pt idx="45">
                  <c:v>6.07</c:v>
                </c:pt>
                <c:pt idx="46">
                  <c:v>6</c:v>
                </c:pt>
                <c:pt idx="47">
                  <c:v>5.04</c:v>
                </c:pt>
                <c:pt idx="48">
                  <c:v>5.54</c:v>
                </c:pt>
                <c:pt idx="49">
                  <c:v>5.6899999999999995</c:v>
                </c:pt>
                <c:pt idx="50">
                  <c:v>5.92</c:v>
                </c:pt>
                <c:pt idx="51">
                  <c:v>5.9</c:v>
                </c:pt>
                <c:pt idx="52">
                  <c:v>6.02</c:v>
                </c:pt>
                <c:pt idx="53">
                  <c:v>5.78</c:v>
                </c:pt>
                <c:pt idx="54">
                  <c:v>6.26</c:v>
                </c:pt>
                <c:pt idx="55">
                  <c:v>5.68</c:v>
                </c:pt>
                <c:pt idx="56">
                  <c:v>6.3199999999999985</c:v>
                </c:pt>
                <c:pt idx="57">
                  <c:v>6.46</c:v>
                </c:pt>
                <c:pt idx="58">
                  <c:v>6.14</c:v>
                </c:pt>
                <c:pt idx="59">
                  <c:v>6.22</c:v>
                </c:pt>
                <c:pt idx="60">
                  <c:v>6.78</c:v>
                </c:pt>
                <c:pt idx="61">
                  <c:v>6.23</c:v>
                </c:pt>
                <c:pt idx="62">
                  <c:v>6.09</c:v>
                </c:pt>
                <c:pt idx="63">
                  <c:v>6.85</c:v>
                </c:pt>
                <c:pt idx="64">
                  <c:v>6.29</c:v>
                </c:pt>
                <c:pt idx="65">
                  <c:v>6.3199999999999985</c:v>
                </c:pt>
                <c:pt idx="66">
                  <c:v>7</c:v>
                </c:pt>
                <c:pt idx="67">
                  <c:v>7.02</c:v>
                </c:pt>
                <c:pt idx="68">
                  <c:v>6.81</c:v>
                </c:pt>
                <c:pt idx="69">
                  <c:v>6.83</c:v>
                </c:pt>
                <c:pt idx="70">
                  <c:v>7.28</c:v>
                </c:pt>
                <c:pt idx="71">
                  <c:v>7.42</c:v>
                </c:pt>
                <c:pt idx="72">
                  <c:v>7.38</c:v>
                </c:pt>
              </c:numCache>
            </c:numRef>
          </c:yVal>
          <c:smooth val="0"/>
        </c:ser>
        <c:ser>
          <c:idx val="1"/>
          <c:order val="1"/>
          <c:spPr>
            <a:ln w="26323">
              <a:solidFill>
                <a:srgbClr val="FF00FF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'HQ (2)'!$D$2:$D$9</c:f>
              <c:numCache>
                <c:formatCode>General</c:formatCode>
                <c:ptCount val="8"/>
                <c:pt idx="0">
                  <c:v>5.4413597380699992</c:v>
                </c:pt>
                <c:pt idx="1">
                  <c:v>2.8230119380700014</c:v>
                </c:pt>
                <c:pt idx="2">
                  <c:v>32.410664138070004</c:v>
                </c:pt>
                <c:pt idx="3">
                  <c:v>94.204316338070043</c:v>
                </c:pt>
                <c:pt idx="4">
                  <c:v>188.20396853807</c:v>
                </c:pt>
                <c:pt idx="5">
                  <c:v>314.40962073807003</c:v>
                </c:pt>
                <c:pt idx="6">
                  <c:v>472.82127293806991</c:v>
                </c:pt>
                <c:pt idx="7">
                  <c:v>663.4389251380702</c:v>
                </c:pt>
              </c:numCache>
            </c:numRef>
          </c:xVal>
          <c:yVal>
            <c:numRef>
              <c:f>'HQ (2)'!$E$2:$E$9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492928"/>
        <c:axId val="70495232"/>
      </c:scatterChart>
      <c:valAx>
        <c:axId val="70492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14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en-US" altLang="en-US"/>
                  <a:t>Q[m3/s]</a:t>
                </a:r>
              </a:p>
            </c:rich>
          </c:tx>
          <c:layout>
            <c:manualLayout>
              <c:xMode val="edge"/>
              <c:yMode val="edge"/>
              <c:x val="0.36815068493150682"/>
              <c:y val="0.90257879656160467"/>
            </c:manualLayout>
          </c:layout>
          <c:overlay val="0"/>
          <c:spPr>
            <a:noFill/>
            <a:ln w="26323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2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4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70495232"/>
        <c:crosses val="autoZero"/>
        <c:crossBetween val="midCat"/>
      </c:valAx>
      <c:valAx>
        <c:axId val="70495232"/>
        <c:scaling>
          <c:orientation val="minMax"/>
        </c:scaling>
        <c:delete val="0"/>
        <c:axPos val="l"/>
        <c:majorGridlines>
          <c:spPr>
            <a:ln w="329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14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en-US" altLang="en-US"/>
                  <a:t>H[m]</a:t>
                </a:r>
              </a:p>
            </c:rich>
          </c:tx>
          <c:layout>
            <c:manualLayout>
              <c:xMode val="edge"/>
              <c:yMode val="edge"/>
              <c:x val="2.0547945205479465E-2"/>
              <c:y val="0.44699140401146126"/>
            </c:manualLayout>
          </c:layout>
          <c:overlay val="0"/>
          <c:spPr>
            <a:noFill/>
            <a:ln w="26323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2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4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70492928"/>
        <c:crosses val="autoZero"/>
        <c:crossBetween val="midCat"/>
      </c:valAx>
      <c:spPr>
        <a:solidFill>
          <a:srgbClr val="C0C0C0"/>
        </a:solidFill>
        <a:ln w="1316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290">
      <a:solidFill>
        <a:srgbClr val="000000"/>
      </a:solidFill>
      <a:prstDash val="solid"/>
    </a:ln>
  </c:spPr>
  <c:txPr>
    <a:bodyPr/>
    <a:lstStyle/>
    <a:p>
      <a:pPr>
        <a:defRPr sz="1114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0.6995</cdr:x>
      <cdr:y>0.09975</cdr:y>
    </cdr:from>
    <cdr:to>
      <cdr:x>0.997</cdr:x>
      <cdr:y>0.169</cdr:y>
    </cdr:to>
    <cdr:sp macro="" textlink="">
      <cdr:nvSpPr>
        <cdr:cNvPr id="3584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91039" y="331591"/>
          <a:ext cx="1654873" cy="2302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5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Q=16.103(H-1.5813)^2</a:t>
          </a:r>
          <a:endParaRPr lang="ja-JP" altLang="en-US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</cp:lastModifiedBy>
  <cp:revision>2</cp:revision>
  <dcterms:created xsi:type="dcterms:W3CDTF">2012-12-06T07:57:00Z</dcterms:created>
  <dcterms:modified xsi:type="dcterms:W3CDTF">2012-12-06T07:57:00Z</dcterms:modified>
</cp:coreProperties>
</file>